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7BF5B" w14:textId="428F27DC" w:rsidR="000E0E0D" w:rsidRPr="00987F19" w:rsidRDefault="007946FA" w:rsidP="000E0E0D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Factsheet</w:t>
      </w:r>
    </w:p>
    <w:p w14:paraId="2D473875" w14:textId="77777777" w:rsidR="000E0E0D" w:rsidRDefault="000E0E0D" w:rsidP="000E0E0D">
      <w:pPr>
        <w:rPr>
          <w:rFonts w:ascii="Arial" w:hAnsi="Arial" w:cs="Arial"/>
          <w:lang w:val="de-DE"/>
        </w:rPr>
      </w:pPr>
    </w:p>
    <w:p w14:paraId="52E64999" w14:textId="171B302D" w:rsidR="00BE1E9E" w:rsidRPr="000E0E0D" w:rsidRDefault="0015568D" w:rsidP="00987F19">
      <w:pPr>
        <w:spacing w:after="240"/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sz w:val="28"/>
          <w:szCs w:val="28"/>
        </w:rPr>
        <w:t>Finanzsymposium</w:t>
      </w:r>
      <w:r w:rsidR="00FC6F33">
        <w:rPr>
          <w:rFonts w:ascii="Arial" w:hAnsi="Arial" w:cs="Arial"/>
          <w:b/>
          <w:bCs/>
          <w:sz w:val="28"/>
          <w:szCs w:val="28"/>
        </w:rPr>
        <w:t xml:space="preserve"> Mannheim</w:t>
      </w:r>
    </w:p>
    <w:p w14:paraId="6BADC3B5" w14:textId="53B12788" w:rsidR="007946FA" w:rsidRPr="00FE3D7B" w:rsidRDefault="007946FA" w:rsidP="00987F19">
      <w:pPr>
        <w:spacing w:after="24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Der </w:t>
      </w:r>
      <w:r w:rsidR="0015568D">
        <w:rPr>
          <w:rFonts w:ascii="Arial" w:hAnsi="Arial" w:cs="Arial"/>
          <w:b/>
          <w:bCs/>
        </w:rPr>
        <w:t xml:space="preserve">führende Kongress für Treasury- &amp; Finanz-Management </w:t>
      </w:r>
    </w:p>
    <w:p w14:paraId="117BFEF0" w14:textId="2A29EDC4" w:rsidR="00DA1F2E" w:rsidRDefault="00DA1F2E" w:rsidP="00987F19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F5BE0">
        <w:rPr>
          <w:rFonts w:ascii="Arial" w:hAnsi="Arial" w:cs="Arial"/>
        </w:rPr>
        <w:t xml:space="preserve">LG Treasury </w:t>
      </w:r>
      <w:r>
        <w:rPr>
          <w:rFonts w:ascii="Arial" w:hAnsi="Arial" w:cs="Arial"/>
        </w:rPr>
        <w:t>veranstaltet seit 3</w:t>
      </w:r>
      <w:r w:rsidR="00DF5BE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Jahren mit dem Finanzsymposium in Mannheim d</w:t>
      </w:r>
      <w:r w:rsidR="003404E6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größte</w:t>
      </w:r>
      <w:r w:rsidR="003404E6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Branchentreff für Finanzverantwortliche </w:t>
      </w:r>
      <w:r w:rsidR="00667996">
        <w:rPr>
          <w:rFonts w:ascii="Arial" w:hAnsi="Arial" w:cs="Arial"/>
        </w:rPr>
        <w:t>in Europa</w:t>
      </w:r>
      <w:r>
        <w:rPr>
          <w:rFonts w:ascii="Arial" w:hAnsi="Arial" w:cs="Arial"/>
        </w:rPr>
        <w:t>.</w:t>
      </w:r>
      <w:r w:rsidR="00667996">
        <w:rPr>
          <w:rFonts w:ascii="Arial" w:hAnsi="Arial" w:cs="Arial"/>
        </w:rPr>
        <w:t xml:space="preserve"> </w:t>
      </w:r>
    </w:p>
    <w:p w14:paraId="0BCF5E92" w14:textId="27C0BD59" w:rsidR="00513EFE" w:rsidRDefault="00667996" w:rsidP="00924CB4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Alljährlich treffen </w:t>
      </w:r>
      <w:r w:rsidR="000E0F72">
        <w:rPr>
          <w:rFonts w:ascii="Arial" w:hAnsi="Arial" w:cs="Arial"/>
        </w:rPr>
        <w:t>im Frühjahr</w:t>
      </w:r>
      <w:r>
        <w:rPr>
          <w:rFonts w:ascii="Arial" w:hAnsi="Arial" w:cs="Arial"/>
        </w:rPr>
        <w:t xml:space="preserve"> führende Finanz- und </w:t>
      </w:r>
      <w:proofErr w:type="spellStart"/>
      <w:r>
        <w:rPr>
          <w:rFonts w:ascii="Arial" w:hAnsi="Arial" w:cs="Arial"/>
        </w:rPr>
        <w:t>Treasury-</w:t>
      </w:r>
      <w:proofErr w:type="gramStart"/>
      <w:r>
        <w:rPr>
          <w:rFonts w:ascii="Arial" w:hAnsi="Arial" w:cs="Arial"/>
        </w:rPr>
        <w:t>Expert:innen</w:t>
      </w:r>
      <w:proofErr w:type="spellEnd"/>
      <w:proofErr w:type="gramEnd"/>
      <w:r>
        <w:rPr>
          <w:rFonts w:ascii="Arial" w:hAnsi="Arial" w:cs="Arial"/>
        </w:rPr>
        <w:t xml:space="preserve"> aus über 2</w:t>
      </w:r>
      <w:r w:rsidR="000E0F7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Ländern auf namhafte </w:t>
      </w:r>
      <w:proofErr w:type="spellStart"/>
      <w:r>
        <w:rPr>
          <w:rFonts w:ascii="Arial" w:hAnsi="Arial" w:cs="Arial"/>
        </w:rPr>
        <w:t>Aussteller:innen</w:t>
      </w:r>
      <w:proofErr w:type="spellEnd"/>
      <w:r>
        <w:rPr>
          <w:rFonts w:ascii="Arial" w:hAnsi="Arial" w:cs="Arial"/>
        </w:rPr>
        <w:t xml:space="preserve"> </w:t>
      </w:r>
      <w:r w:rsidR="00924CB4">
        <w:rPr>
          <w:rFonts w:ascii="Arial" w:hAnsi="Arial" w:cs="Arial"/>
        </w:rPr>
        <w:t>wie</w:t>
      </w:r>
      <w:r>
        <w:rPr>
          <w:rFonts w:ascii="Arial" w:hAnsi="Arial" w:cs="Arial"/>
        </w:rPr>
        <w:t xml:space="preserve"> Banken</w:t>
      </w:r>
      <w:r w:rsidR="00924CB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Versicherungen</w:t>
      </w:r>
      <w:r w:rsidR="00924CB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Anbieter von Finanzsoftware</w:t>
      </w:r>
      <w:r w:rsidR="00924CB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FinTechs</w:t>
      </w:r>
      <w:r w:rsidR="00924CB4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Anwält:innen</w:t>
      </w:r>
      <w:proofErr w:type="spellEnd"/>
      <w:r>
        <w:rPr>
          <w:rFonts w:ascii="Arial" w:hAnsi="Arial" w:cs="Arial"/>
        </w:rPr>
        <w:t xml:space="preserve"> und andere </w:t>
      </w:r>
      <w:proofErr w:type="spellStart"/>
      <w:r>
        <w:rPr>
          <w:rFonts w:ascii="Arial" w:hAnsi="Arial" w:cs="Arial"/>
        </w:rPr>
        <w:t>Branchenspezialist:innen</w:t>
      </w:r>
      <w:proofErr w:type="spellEnd"/>
      <w:r>
        <w:rPr>
          <w:rFonts w:ascii="Arial" w:hAnsi="Arial" w:cs="Arial"/>
        </w:rPr>
        <w:t xml:space="preserve">. Auf sie alle wartet an drei Kongresstagen ein abwechslungsreiches Programm: </w:t>
      </w:r>
      <w:r w:rsidR="00513EFE" w:rsidRPr="00513EFE">
        <w:rPr>
          <w:rFonts w:ascii="Arial" w:hAnsi="Arial" w:cs="Arial"/>
        </w:rPr>
        <w:t xml:space="preserve">Mit einer breiten Palette von Themen, darunter Cash-Management, </w:t>
      </w:r>
      <w:r w:rsidR="000E0F72">
        <w:rPr>
          <w:rFonts w:ascii="Arial" w:hAnsi="Arial" w:cs="Arial"/>
        </w:rPr>
        <w:t xml:space="preserve">finanzielles </w:t>
      </w:r>
      <w:r w:rsidR="00513EFE" w:rsidRPr="00513EFE">
        <w:rPr>
          <w:rFonts w:ascii="Arial" w:hAnsi="Arial" w:cs="Arial"/>
        </w:rPr>
        <w:t>Risiko-Management, Asset-Management, Corporate Finance</w:t>
      </w:r>
      <w:r w:rsidR="000E0F72">
        <w:rPr>
          <w:rFonts w:ascii="Arial" w:hAnsi="Arial" w:cs="Arial"/>
        </w:rPr>
        <w:t xml:space="preserve"> </w:t>
      </w:r>
      <w:r w:rsidR="00513EFE" w:rsidRPr="00513EFE">
        <w:rPr>
          <w:rFonts w:ascii="Arial" w:hAnsi="Arial" w:cs="Arial"/>
        </w:rPr>
        <w:t>und technische Innovationen</w:t>
      </w:r>
      <w:r w:rsidR="000E0F72">
        <w:rPr>
          <w:rFonts w:ascii="Arial" w:hAnsi="Arial" w:cs="Arial"/>
        </w:rPr>
        <w:t xml:space="preserve"> wie künstliche Intelligenz im Finanzbereich</w:t>
      </w:r>
      <w:r w:rsidR="00513EFE" w:rsidRPr="00513EFE">
        <w:rPr>
          <w:rFonts w:ascii="Arial" w:hAnsi="Arial" w:cs="Arial"/>
        </w:rPr>
        <w:t xml:space="preserve">, ist das Finanzsymposium die ideale Plattform, um die Finanzwelt in all ihren Facetten zu erkunden. Es bietet Fachexpertise und konkrete Umsetzungsprojekte, die </w:t>
      </w:r>
      <w:proofErr w:type="gramStart"/>
      <w:r w:rsidR="00513EFE" w:rsidRPr="00513EFE">
        <w:rPr>
          <w:rFonts w:ascii="Arial" w:hAnsi="Arial" w:cs="Arial"/>
        </w:rPr>
        <w:t>Teilnehmer</w:t>
      </w:r>
      <w:r w:rsidR="00513EFE">
        <w:rPr>
          <w:rFonts w:ascii="Arial" w:hAnsi="Arial" w:cs="Arial"/>
        </w:rPr>
        <w:t>:inne</w:t>
      </w:r>
      <w:r w:rsidR="00513EFE" w:rsidRPr="00513EFE">
        <w:rPr>
          <w:rFonts w:ascii="Arial" w:hAnsi="Arial" w:cs="Arial"/>
        </w:rPr>
        <w:t>n</w:t>
      </w:r>
      <w:proofErr w:type="gramEnd"/>
      <w:r w:rsidR="00513EFE" w:rsidRPr="00513EFE">
        <w:rPr>
          <w:rFonts w:ascii="Arial" w:hAnsi="Arial" w:cs="Arial"/>
        </w:rPr>
        <w:t xml:space="preserve"> helfen, sich in der sich ständig wandelnden Finanzbranche zu behaupten.</w:t>
      </w:r>
      <w:r w:rsidR="00513EFE">
        <w:rPr>
          <w:rFonts w:ascii="Arial" w:hAnsi="Arial" w:cs="Arial"/>
        </w:rPr>
        <w:t xml:space="preserve"> </w:t>
      </w:r>
      <w:r w:rsidR="00FC6F33" w:rsidRPr="007A75AC">
        <w:rPr>
          <w:rFonts w:ascii="Arial" w:hAnsi="Arial" w:cs="Arial"/>
        </w:rPr>
        <w:t xml:space="preserve">Neben </w:t>
      </w:r>
      <w:r w:rsidR="00FC6F33">
        <w:rPr>
          <w:rFonts w:ascii="Arial" w:hAnsi="Arial" w:cs="Arial"/>
        </w:rPr>
        <w:t xml:space="preserve">spannenden Vorträgen von hochkarätigen </w:t>
      </w:r>
      <w:proofErr w:type="spellStart"/>
      <w:proofErr w:type="gramStart"/>
      <w:r w:rsidR="00FC6F33">
        <w:rPr>
          <w:rFonts w:ascii="Arial" w:hAnsi="Arial" w:cs="Arial"/>
        </w:rPr>
        <w:t>Gastredner:innen</w:t>
      </w:r>
      <w:proofErr w:type="spellEnd"/>
      <w:proofErr w:type="gramEnd"/>
      <w:r w:rsidR="00FC6F33">
        <w:rPr>
          <w:rFonts w:ascii="Arial" w:hAnsi="Arial" w:cs="Arial"/>
        </w:rPr>
        <w:t xml:space="preserve"> und </w:t>
      </w:r>
      <w:r w:rsidR="00FC6F33" w:rsidRPr="007A75AC">
        <w:rPr>
          <w:rFonts w:ascii="Arial" w:hAnsi="Arial" w:cs="Arial"/>
        </w:rPr>
        <w:t>klassischen Diskussionsformaten werden auch interaktivere Formen der Teilnahme geboten. Dazu gehören Workshops</w:t>
      </w:r>
      <w:r w:rsidR="00FC6F33">
        <w:rPr>
          <w:rFonts w:ascii="Arial" w:hAnsi="Arial" w:cs="Arial"/>
        </w:rPr>
        <w:t xml:space="preserve">, </w:t>
      </w:r>
      <w:r w:rsidR="00FC6F33" w:rsidRPr="00FC6F33">
        <w:rPr>
          <w:rFonts w:ascii="Arial" w:hAnsi="Arial" w:cs="Arial"/>
        </w:rPr>
        <w:t xml:space="preserve">Treasury Cafés </w:t>
      </w:r>
      <w:r w:rsidR="00FC6F33">
        <w:rPr>
          <w:rFonts w:ascii="Arial" w:hAnsi="Arial" w:cs="Arial"/>
        </w:rPr>
        <w:t>und</w:t>
      </w:r>
      <w:r w:rsidR="00FC6F33" w:rsidRPr="00FC6F33">
        <w:rPr>
          <w:rFonts w:ascii="Arial" w:hAnsi="Arial" w:cs="Arial"/>
        </w:rPr>
        <w:t xml:space="preserve"> </w:t>
      </w:r>
      <w:proofErr w:type="spellStart"/>
      <w:proofErr w:type="gramStart"/>
      <w:r w:rsidR="00FC6F33" w:rsidRPr="00FC6F33">
        <w:rPr>
          <w:rFonts w:ascii="Arial" w:hAnsi="Arial" w:cs="Arial"/>
        </w:rPr>
        <w:t>Expert</w:t>
      </w:r>
      <w:r w:rsidR="00FC6F33">
        <w:rPr>
          <w:rFonts w:ascii="Arial" w:hAnsi="Arial" w:cs="Arial"/>
        </w:rPr>
        <w:t>:inn</w:t>
      </w:r>
      <w:r w:rsidR="00FC6F33" w:rsidRPr="00FC6F33">
        <w:rPr>
          <w:rFonts w:ascii="Arial" w:hAnsi="Arial" w:cs="Arial"/>
        </w:rPr>
        <w:t>eninterviews</w:t>
      </w:r>
      <w:proofErr w:type="spellEnd"/>
      <w:proofErr w:type="gramEnd"/>
      <w:r w:rsidR="00FC6F33" w:rsidRPr="00FC6F33">
        <w:rPr>
          <w:rFonts w:ascii="Arial" w:hAnsi="Arial" w:cs="Arial"/>
        </w:rPr>
        <w:t xml:space="preserve">. </w:t>
      </w:r>
    </w:p>
    <w:p w14:paraId="1BD6097C" w14:textId="5D66C44B" w:rsidR="00513EFE" w:rsidRDefault="00513EFE" w:rsidP="00924CB4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</w:t>
      </w:r>
      <w:r w:rsidRPr="00513EFE">
        <w:rPr>
          <w:rFonts w:ascii="Arial" w:hAnsi="Arial" w:cs="Arial"/>
        </w:rPr>
        <w:t xml:space="preserve"> Mittelpunkt </w:t>
      </w:r>
      <w:r>
        <w:rPr>
          <w:rFonts w:ascii="Arial" w:hAnsi="Arial" w:cs="Arial"/>
        </w:rPr>
        <w:t>der Veranstaltung steht das persönliche Netzwerken:</w:t>
      </w:r>
      <w:r w:rsidRPr="00513EFE">
        <w:rPr>
          <w:rFonts w:ascii="Arial" w:hAnsi="Arial" w:cs="Arial"/>
        </w:rPr>
        <w:t xml:space="preserve"> Mit einer starken Besuchergemeinschaft von </w:t>
      </w:r>
      <w:proofErr w:type="spellStart"/>
      <w:proofErr w:type="gramStart"/>
      <w:r w:rsidRPr="00513EFE">
        <w:rPr>
          <w:rFonts w:ascii="Arial" w:hAnsi="Arial" w:cs="Arial"/>
        </w:rPr>
        <w:t>Entscheidungsträger</w:t>
      </w:r>
      <w:r w:rsidR="00C16BBF">
        <w:rPr>
          <w:rFonts w:ascii="Arial" w:hAnsi="Arial" w:cs="Arial"/>
        </w:rPr>
        <w:t>:in</w:t>
      </w:r>
      <w:r w:rsidRPr="00513EFE">
        <w:rPr>
          <w:rFonts w:ascii="Arial" w:hAnsi="Arial" w:cs="Arial"/>
        </w:rPr>
        <w:t>n</w:t>
      </w:r>
      <w:proofErr w:type="spellEnd"/>
      <w:proofErr w:type="gramEnd"/>
      <w:r w:rsidRPr="00513EFE">
        <w:rPr>
          <w:rFonts w:ascii="Arial" w:hAnsi="Arial" w:cs="Arial"/>
        </w:rPr>
        <w:t xml:space="preserve"> aus </w:t>
      </w:r>
      <w:r w:rsidR="000E0F72">
        <w:rPr>
          <w:rFonts w:ascii="Arial" w:hAnsi="Arial" w:cs="Arial"/>
        </w:rPr>
        <w:t>fast 1.000</w:t>
      </w:r>
      <w:r w:rsidRPr="00513EFE">
        <w:rPr>
          <w:rFonts w:ascii="Arial" w:hAnsi="Arial" w:cs="Arial"/>
        </w:rPr>
        <w:t xml:space="preserve"> teilnehmenden Unternehmen und</w:t>
      </w:r>
      <w:r w:rsidR="000E0F72">
        <w:rPr>
          <w:rFonts w:ascii="Arial" w:hAnsi="Arial" w:cs="Arial"/>
        </w:rPr>
        <w:t xml:space="preserve"> mehr als 100</w:t>
      </w:r>
      <w:r w:rsidRPr="00513EFE">
        <w:rPr>
          <w:rFonts w:ascii="Arial" w:hAnsi="Arial" w:cs="Arial"/>
        </w:rPr>
        <w:t xml:space="preserve"> </w:t>
      </w:r>
      <w:proofErr w:type="spellStart"/>
      <w:r w:rsidRPr="00513EFE">
        <w:rPr>
          <w:rFonts w:ascii="Arial" w:hAnsi="Arial" w:cs="Arial"/>
        </w:rPr>
        <w:t>Aussteller</w:t>
      </w:r>
      <w:r w:rsidR="00C16BBF">
        <w:rPr>
          <w:rFonts w:ascii="Arial" w:hAnsi="Arial" w:cs="Arial"/>
        </w:rPr>
        <w:t>:innen</w:t>
      </w:r>
      <w:proofErr w:type="spellEnd"/>
      <w:r w:rsidRPr="00513EFE">
        <w:rPr>
          <w:rFonts w:ascii="Arial" w:hAnsi="Arial" w:cs="Arial"/>
        </w:rPr>
        <w:t xml:space="preserve"> haben Teilnehmer</w:t>
      </w:r>
      <w:r>
        <w:rPr>
          <w:rFonts w:ascii="Arial" w:hAnsi="Arial" w:cs="Arial"/>
        </w:rPr>
        <w:t>:innen</w:t>
      </w:r>
      <w:r w:rsidRPr="00513EFE">
        <w:rPr>
          <w:rFonts w:ascii="Arial" w:hAnsi="Arial" w:cs="Arial"/>
        </w:rPr>
        <w:t xml:space="preserve"> die Möglichkeit, wertvolle Kontakte zu knüpfen und ihr berufliches Netzwerk zu erweitern. Der direkte Kontakt zu </w:t>
      </w:r>
      <w:proofErr w:type="spellStart"/>
      <w:proofErr w:type="gramStart"/>
      <w:r w:rsidRPr="00513EFE">
        <w:rPr>
          <w:rFonts w:ascii="Arial" w:hAnsi="Arial" w:cs="Arial"/>
        </w:rPr>
        <w:t>Branchenkolleg</w:t>
      </w:r>
      <w:r>
        <w:rPr>
          <w:rFonts w:ascii="Arial" w:hAnsi="Arial" w:cs="Arial"/>
        </w:rPr>
        <w:t>:innen</w:t>
      </w:r>
      <w:proofErr w:type="spellEnd"/>
      <w:proofErr w:type="gramEnd"/>
      <w:r w:rsidRPr="00513EFE">
        <w:rPr>
          <w:rFonts w:ascii="Arial" w:hAnsi="Arial" w:cs="Arial"/>
        </w:rPr>
        <w:t xml:space="preserve"> und Führungskräften</w:t>
      </w:r>
      <w:r w:rsidR="000E0F72">
        <w:rPr>
          <w:rFonts w:ascii="Arial" w:hAnsi="Arial" w:cs="Arial"/>
        </w:rPr>
        <w:t xml:space="preserve"> sowie Vorständen</w:t>
      </w:r>
      <w:r w:rsidRPr="00513EFE">
        <w:rPr>
          <w:rFonts w:ascii="Arial" w:hAnsi="Arial" w:cs="Arial"/>
        </w:rPr>
        <w:t xml:space="preserve"> bietet eine einzigartige Gelegenheit, sich über technologische Neuerungen zu informieren und von den Erfahrungen anderer zu profitieren</w:t>
      </w:r>
      <w:r w:rsidR="000E0F72">
        <w:rPr>
          <w:rFonts w:ascii="Arial" w:hAnsi="Arial" w:cs="Arial"/>
        </w:rPr>
        <w:t>.</w:t>
      </w:r>
    </w:p>
    <w:p w14:paraId="53420879" w14:textId="1AFB7376" w:rsidR="00924CB4" w:rsidRDefault="00FC6F33" w:rsidP="00924CB4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Insgesamt besuchen jährlich</w:t>
      </w:r>
      <w:r w:rsidR="00924CB4">
        <w:rPr>
          <w:rFonts w:ascii="Arial" w:hAnsi="Arial" w:cs="Arial"/>
        </w:rPr>
        <w:t xml:space="preserve"> rund </w:t>
      </w:r>
      <w:r w:rsidR="00DF5BE0">
        <w:rPr>
          <w:rFonts w:ascii="Arial" w:hAnsi="Arial" w:cs="Arial"/>
        </w:rPr>
        <w:t>3.000</w:t>
      </w:r>
      <w:r w:rsidR="00924CB4">
        <w:rPr>
          <w:rFonts w:ascii="Arial" w:hAnsi="Arial" w:cs="Arial"/>
        </w:rPr>
        <w:t xml:space="preserve"> </w:t>
      </w:r>
      <w:proofErr w:type="gramStart"/>
      <w:r w:rsidR="00924CB4">
        <w:rPr>
          <w:rFonts w:ascii="Arial" w:hAnsi="Arial" w:cs="Arial"/>
        </w:rPr>
        <w:t>Teilnehmer:innen</w:t>
      </w:r>
      <w:proofErr w:type="gramEnd"/>
      <w:r>
        <w:rPr>
          <w:rFonts w:ascii="Arial" w:hAnsi="Arial" w:cs="Arial"/>
        </w:rPr>
        <w:t xml:space="preserve"> das Finanzsymposium.</w:t>
      </w:r>
    </w:p>
    <w:p w14:paraId="7FF9D94A" w14:textId="134231A0" w:rsidR="00FC6F33" w:rsidRDefault="008258AC" w:rsidP="00924CB4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nächste Finanzsymposium findet von 21. bis 23. Mai 2025 im </w:t>
      </w:r>
      <w:proofErr w:type="spellStart"/>
      <w:r w:rsidRPr="008258AC">
        <w:rPr>
          <w:rFonts w:ascii="Arial" w:hAnsi="Arial" w:cs="Arial"/>
        </w:rPr>
        <w:t>Congress</w:t>
      </w:r>
      <w:proofErr w:type="spellEnd"/>
      <w:r w:rsidRPr="008258AC">
        <w:rPr>
          <w:rFonts w:ascii="Arial" w:hAnsi="Arial" w:cs="Arial"/>
        </w:rPr>
        <w:t xml:space="preserve"> Center Rosengarten Mannheim</w:t>
      </w:r>
      <w:r>
        <w:rPr>
          <w:rFonts w:ascii="Arial" w:hAnsi="Arial" w:cs="Arial"/>
        </w:rPr>
        <w:t xml:space="preserve"> statt.</w:t>
      </w:r>
    </w:p>
    <w:p w14:paraId="7397CED4" w14:textId="34B58998" w:rsidR="00924CB4" w:rsidRDefault="008258AC" w:rsidP="001A53CF">
      <w:pPr>
        <w:spacing w:after="240"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</w:rPr>
        <w:t xml:space="preserve">Mehr Informationen unter: </w:t>
      </w:r>
      <w:hyperlink r:id="rId6" w:history="1">
        <w:r w:rsidRPr="002170FE">
          <w:rPr>
            <w:rStyle w:val="Hyperlink"/>
            <w:rFonts w:ascii="Arial" w:hAnsi="Arial" w:cs="Arial"/>
          </w:rPr>
          <w:t>https://finanzsymposium.com/</w:t>
        </w:r>
      </w:hyperlink>
      <w:r>
        <w:rPr>
          <w:rFonts w:ascii="Arial" w:hAnsi="Arial" w:cs="Arial"/>
        </w:rPr>
        <w:t xml:space="preserve"> </w:t>
      </w:r>
    </w:p>
    <w:p w14:paraId="24BE3D9C" w14:textId="43970183" w:rsidR="00924CB4" w:rsidRPr="00BE1E9E" w:rsidRDefault="00924CB4">
      <w:pPr>
        <w:rPr>
          <w:rFonts w:ascii="Arial" w:hAnsi="Arial" w:cs="Arial"/>
          <w:lang w:val="de-DE"/>
        </w:rPr>
      </w:pPr>
    </w:p>
    <w:sectPr w:rsidR="00924CB4" w:rsidRPr="00BE1E9E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9D3E6" w14:textId="77777777" w:rsidR="00E64DB4" w:rsidRDefault="00E64DB4" w:rsidP="00BE1E9E">
      <w:pPr>
        <w:spacing w:after="0" w:line="240" w:lineRule="auto"/>
      </w:pPr>
      <w:r>
        <w:separator/>
      </w:r>
    </w:p>
  </w:endnote>
  <w:endnote w:type="continuationSeparator" w:id="0">
    <w:p w14:paraId="6E0001F5" w14:textId="77777777" w:rsidR="00E64DB4" w:rsidRDefault="00E64DB4" w:rsidP="00BE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3039549"/>
      <w:docPartObj>
        <w:docPartGallery w:val="Page Numbers (Bottom of Page)"/>
        <w:docPartUnique/>
      </w:docPartObj>
    </w:sdtPr>
    <w:sdtEndPr/>
    <w:sdtContent>
      <w:p w14:paraId="3786324B" w14:textId="7C45DFE8" w:rsidR="00987F19" w:rsidRDefault="00987F19">
        <w:pPr>
          <w:pStyle w:val="Fuzeile"/>
          <w:jc w:val="right"/>
        </w:pPr>
        <w:r w:rsidRPr="00987F19">
          <w:rPr>
            <w:rFonts w:ascii="Arial" w:hAnsi="Arial" w:cs="Arial"/>
            <w:sz w:val="18"/>
            <w:szCs w:val="18"/>
          </w:rPr>
          <w:fldChar w:fldCharType="begin"/>
        </w:r>
        <w:r w:rsidRPr="00987F19">
          <w:rPr>
            <w:rFonts w:ascii="Arial" w:hAnsi="Arial" w:cs="Arial"/>
            <w:sz w:val="18"/>
            <w:szCs w:val="18"/>
          </w:rPr>
          <w:instrText>PAGE   \* MERGEFORMAT</w:instrText>
        </w:r>
        <w:r w:rsidRPr="00987F19">
          <w:rPr>
            <w:rFonts w:ascii="Arial" w:hAnsi="Arial" w:cs="Arial"/>
            <w:sz w:val="18"/>
            <w:szCs w:val="18"/>
          </w:rPr>
          <w:fldChar w:fldCharType="separate"/>
        </w:r>
        <w:r w:rsidRPr="00987F19">
          <w:rPr>
            <w:rFonts w:ascii="Arial" w:hAnsi="Arial" w:cs="Arial"/>
            <w:sz w:val="18"/>
            <w:szCs w:val="18"/>
            <w:lang w:val="de-DE"/>
          </w:rPr>
          <w:t>2</w:t>
        </w:r>
        <w:r w:rsidRPr="00987F19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B2F6787" w14:textId="77777777" w:rsidR="00987F19" w:rsidRDefault="00987F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7D689" w14:textId="77777777" w:rsidR="00E64DB4" w:rsidRDefault="00E64DB4" w:rsidP="00BE1E9E">
      <w:pPr>
        <w:spacing w:after="0" w:line="240" w:lineRule="auto"/>
      </w:pPr>
      <w:r>
        <w:separator/>
      </w:r>
    </w:p>
  </w:footnote>
  <w:footnote w:type="continuationSeparator" w:id="0">
    <w:p w14:paraId="7E449798" w14:textId="77777777" w:rsidR="00E64DB4" w:rsidRDefault="00E64DB4" w:rsidP="00BE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76047" w14:textId="73A8F49B" w:rsidR="00BE1E9E" w:rsidRDefault="004837F3" w:rsidP="00BE1E9E">
    <w:pPr>
      <w:pStyle w:val="Kopf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36DE2AA0" wp14:editId="11BD9D57">
              <wp:simplePos x="0" y="0"/>
              <wp:positionH relativeFrom="margin">
                <wp:align>right</wp:align>
              </wp:positionH>
              <wp:positionV relativeFrom="paragraph">
                <wp:posOffset>-259081</wp:posOffset>
              </wp:positionV>
              <wp:extent cx="2219325" cy="708660"/>
              <wp:effectExtent l="0" t="0" r="9525" b="0"/>
              <wp:wrapNone/>
              <wp:docPr id="1809272219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9325" cy="6934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61E4C3" id="Rechteck 2" o:spid="_x0000_s1026" style="position:absolute;margin-left:123.55pt;margin-top:-20.4pt;width:174.75pt;height:55.8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" fillcolor="white [3212]" stroked="f" strokeweight="1pt">
              <w10:wrap anchorx="margin"/>
            </v:rect>
          </w:pict>
        </mc:Fallback>
      </mc:AlternateContent>
    </w:r>
    <w:r w:rsidR="004C3A52">
      <w:rPr>
        <w:noProof/>
      </w:rPr>
      <w:drawing>
        <wp:anchor distT="0" distB="0" distL="114300" distR="114300" simplePos="0" relativeHeight="251660288" behindDoc="0" locked="0" layoutInCell="1" allowOverlap="1" wp14:anchorId="60ED2FE3" wp14:editId="25957F03">
          <wp:simplePos x="0" y="0"/>
          <wp:positionH relativeFrom="margin">
            <wp:posOffset>3722370</wp:posOffset>
          </wp:positionH>
          <wp:positionV relativeFrom="topMargin">
            <wp:posOffset>320040</wp:posOffset>
          </wp:positionV>
          <wp:extent cx="1914525" cy="668816"/>
          <wp:effectExtent l="0" t="0" r="0" b="0"/>
          <wp:wrapSquare wrapText="bothSides"/>
          <wp:docPr id="709238511" name="Grafik 3" descr="Ein Bild, das Schrift, Text, Grafiken, Screensho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238511" name="Grafik 3" descr="Ein Bild, das Schrift, Text, Grafiken, Screenshot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68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0E0D">
      <w:rPr>
        <w:noProof/>
      </w:rPr>
      <w:drawing>
        <wp:anchor distT="0" distB="0" distL="114300" distR="114300" simplePos="0" relativeHeight="251659264" behindDoc="1" locked="0" layoutInCell="1" allowOverlap="1" wp14:anchorId="7ECAD66C" wp14:editId="73365434">
          <wp:simplePos x="0" y="0"/>
          <wp:positionH relativeFrom="page">
            <wp:align>right</wp:align>
          </wp:positionH>
          <wp:positionV relativeFrom="paragraph">
            <wp:posOffset>-657860</wp:posOffset>
          </wp:positionV>
          <wp:extent cx="7583170" cy="1276350"/>
          <wp:effectExtent l="0" t="0" r="0" b="0"/>
          <wp:wrapNone/>
          <wp:docPr id="4" name="Grafik 4" descr="Ein Bild, das Text, Screenshot, Reihe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reenshot, Reihe, Schrift enthält.&#10;&#10;Automatisch generierte Beschreibung"/>
                  <pic:cNvPicPr/>
                </pic:nvPicPr>
                <pic:blipFill rotWithShape="1">
                  <a:blip r:embed="rId2"/>
                  <a:srcRect l="126" b="88115"/>
                  <a:stretch/>
                </pic:blipFill>
                <pic:spPr bwMode="auto">
                  <a:xfrm>
                    <a:off x="0" y="0"/>
                    <a:ext cx="7583170" cy="1276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25C6B6" w14:textId="25B2B3B5" w:rsidR="000E0E0D" w:rsidRDefault="000E0E0D" w:rsidP="00BE1E9E">
    <w:pPr>
      <w:pStyle w:val="Kopfzeile"/>
      <w:jc w:val="right"/>
    </w:pPr>
  </w:p>
  <w:p w14:paraId="451AB4CD" w14:textId="568603D3" w:rsidR="000E0E0D" w:rsidRDefault="000E0E0D" w:rsidP="00BE1E9E">
    <w:pPr>
      <w:pStyle w:val="Kopfzeile"/>
      <w:jc w:val="right"/>
    </w:pPr>
  </w:p>
  <w:p w14:paraId="61B1E35F" w14:textId="3B96D91D" w:rsidR="00987F19" w:rsidRDefault="00987F19" w:rsidP="004C3A5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9E"/>
    <w:rsid w:val="000D5CE3"/>
    <w:rsid w:val="000E0E0D"/>
    <w:rsid w:val="000E0F72"/>
    <w:rsid w:val="0015568D"/>
    <w:rsid w:val="00157C90"/>
    <w:rsid w:val="001A53CF"/>
    <w:rsid w:val="0025594E"/>
    <w:rsid w:val="00307B31"/>
    <w:rsid w:val="003404E6"/>
    <w:rsid w:val="003A5D68"/>
    <w:rsid w:val="003E24E2"/>
    <w:rsid w:val="004837F3"/>
    <w:rsid w:val="00485D48"/>
    <w:rsid w:val="004C3A52"/>
    <w:rsid w:val="00513EFE"/>
    <w:rsid w:val="00645DC4"/>
    <w:rsid w:val="0066241D"/>
    <w:rsid w:val="00667996"/>
    <w:rsid w:val="006C4F4B"/>
    <w:rsid w:val="007946FA"/>
    <w:rsid w:val="007A75AC"/>
    <w:rsid w:val="008258AC"/>
    <w:rsid w:val="008857F6"/>
    <w:rsid w:val="008A0D0C"/>
    <w:rsid w:val="00924CB4"/>
    <w:rsid w:val="00987F19"/>
    <w:rsid w:val="00B44114"/>
    <w:rsid w:val="00BE1E9E"/>
    <w:rsid w:val="00BF32A5"/>
    <w:rsid w:val="00C16BBF"/>
    <w:rsid w:val="00C94271"/>
    <w:rsid w:val="00CC7A79"/>
    <w:rsid w:val="00DA1F2E"/>
    <w:rsid w:val="00DE7894"/>
    <w:rsid w:val="00DF5BE0"/>
    <w:rsid w:val="00E05837"/>
    <w:rsid w:val="00E14928"/>
    <w:rsid w:val="00E64DB4"/>
    <w:rsid w:val="00EB5E22"/>
    <w:rsid w:val="00EC6859"/>
    <w:rsid w:val="00F12FD1"/>
    <w:rsid w:val="00FC6F33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E0A7B8"/>
  <w15:chartTrackingRefBased/>
  <w15:docId w15:val="{79CD8F58-ADA6-4CFF-88FD-E478696D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E1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E1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E1E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E1E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E1E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E1E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1E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1E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1E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E1E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E1E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E1E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E1E9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E1E9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E1E9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1E9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1E9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1E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E1E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E1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E1E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E1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E1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E1E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E1E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E1E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E1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E1E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E1E9E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E1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1E9E"/>
  </w:style>
  <w:style w:type="paragraph" w:styleId="Fuzeile">
    <w:name w:val="footer"/>
    <w:basedOn w:val="Standard"/>
    <w:link w:val="FuzeileZchn"/>
    <w:uiPriority w:val="99"/>
    <w:unhideWhenUsed/>
    <w:rsid w:val="00BE1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1E9E"/>
  </w:style>
  <w:style w:type="character" w:styleId="Hyperlink">
    <w:name w:val="Hyperlink"/>
    <w:basedOn w:val="Absatz-Standardschriftart"/>
    <w:uiPriority w:val="99"/>
    <w:unhideWhenUsed/>
    <w:rsid w:val="000E0E0D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0E0D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0E0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E14928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2F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12FD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12FD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2F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2FD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F3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nanzsymposium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Hirsch Barbara</dc:creator>
  <cp:keywords/>
  <dc:description/>
  <cp:lastModifiedBy>Mariana Tomash</cp:lastModifiedBy>
  <cp:revision>5</cp:revision>
  <dcterms:created xsi:type="dcterms:W3CDTF">2024-07-15T13:00:00Z</dcterms:created>
  <dcterms:modified xsi:type="dcterms:W3CDTF">2025-03-26T13:28:00Z</dcterms:modified>
</cp:coreProperties>
</file>