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57BF5B" w14:textId="428F27DC" w:rsidR="000E0E0D" w:rsidRPr="00987F19" w:rsidRDefault="007946FA" w:rsidP="000E0E0D">
      <w:pPr>
        <w:rPr>
          <w:rFonts w:ascii="Arial" w:hAnsi="Arial" w:cs="Arial"/>
          <w:sz w:val="24"/>
          <w:szCs w:val="24"/>
          <w:lang w:val="de-DE"/>
        </w:rPr>
      </w:pPr>
      <w:r>
        <w:rPr>
          <w:rFonts w:ascii="Arial" w:hAnsi="Arial" w:cs="Arial"/>
          <w:sz w:val="24"/>
          <w:szCs w:val="24"/>
          <w:lang w:val="de-DE"/>
        </w:rPr>
        <w:t>Factsheet</w:t>
      </w:r>
    </w:p>
    <w:p w14:paraId="2D473875" w14:textId="77777777" w:rsidR="000E0E0D" w:rsidRDefault="000E0E0D" w:rsidP="000E0E0D">
      <w:pPr>
        <w:rPr>
          <w:rFonts w:ascii="Arial" w:hAnsi="Arial" w:cs="Arial"/>
          <w:lang w:val="de-DE"/>
        </w:rPr>
      </w:pPr>
    </w:p>
    <w:p w14:paraId="52E64999" w14:textId="36FDCBA8" w:rsidR="00BE1E9E" w:rsidRPr="000E0E0D" w:rsidRDefault="00B4649F" w:rsidP="00987F19">
      <w:pPr>
        <w:spacing w:after="240"/>
        <w:rPr>
          <w:rFonts w:ascii="Arial" w:hAnsi="Arial" w:cs="Arial"/>
          <w:lang w:val="de-DE"/>
        </w:rPr>
      </w:pPr>
      <w:r>
        <w:rPr>
          <w:rFonts w:ascii="Arial" w:hAnsi="Arial" w:cs="Arial"/>
          <w:b/>
          <w:bCs/>
          <w:sz w:val="28"/>
          <w:szCs w:val="28"/>
        </w:rPr>
        <w:t>S</w:t>
      </w:r>
      <w:r w:rsidR="00E1206D">
        <w:rPr>
          <w:rFonts w:ascii="Arial" w:hAnsi="Arial" w:cs="Arial"/>
          <w:b/>
          <w:bCs/>
          <w:sz w:val="28"/>
          <w:szCs w:val="28"/>
        </w:rPr>
        <w:t>LG Treasury</w:t>
      </w:r>
    </w:p>
    <w:p w14:paraId="1421A130" w14:textId="5CD16802" w:rsidR="000E10A6" w:rsidRDefault="000E10A6" w:rsidP="00B4649F">
      <w:pPr>
        <w:spacing w:after="240" w:line="360" w:lineRule="auto"/>
        <w:jc w:val="both"/>
        <w:rPr>
          <w:rFonts w:ascii="Arial" w:hAnsi="Arial" w:cs="Arial"/>
        </w:rPr>
      </w:pPr>
      <w:r w:rsidRPr="000E10A6">
        <w:rPr>
          <w:rFonts w:ascii="Arial" w:hAnsi="Arial" w:cs="Arial"/>
        </w:rPr>
        <w:t>S</w:t>
      </w:r>
      <w:r w:rsidR="00E1206D">
        <w:rPr>
          <w:rFonts w:ascii="Arial" w:hAnsi="Arial" w:cs="Arial"/>
        </w:rPr>
        <w:t xml:space="preserve">LG Treasury GmbH </w:t>
      </w:r>
      <w:r w:rsidRPr="000E10A6">
        <w:rPr>
          <w:rFonts w:ascii="Arial" w:hAnsi="Arial" w:cs="Arial"/>
        </w:rPr>
        <w:t xml:space="preserve">(SLG) ist das führende Beratungsunternehmen für Finanz- und Treasury-Management in Österreich, Deutschland und der Schweiz. </w:t>
      </w:r>
      <w:r w:rsidR="00673BD1" w:rsidRPr="00B822D4">
        <w:rPr>
          <w:rFonts w:ascii="Arial" w:hAnsi="Arial" w:cs="Arial"/>
        </w:rPr>
        <w:t xml:space="preserve">Die 1988 in Wien gegründete Gesellschaft begleitet mit rund 60 </w:t>
      </w:r>
      <w:proofErr w:type="spellStart"/>
      <w:proofErr w:type="gramStart"/>
      <w:r w:rsidR="00673BD1" w:rsidRPr="00B822D4">
        <w:rPr>
          <w:rFonts w:ascii="Arial" w:hAnsi="Arial" w:cs="Arial"/>
        </w:rPr>
        <w:t>Mitarbeiter:innen</w:t>
      </w:r>
      <w:proofErr w:type="spellEnd"/>
      <w:proofErr w:type="gramEnd"/>
      <w:r w:rsidR="00673BD1" w:rsidRPr="00B822D4">
        <w:rPr>
          <w:rFonts w:ascii="Arial" w:hAnsi="Arial" w:cs="Arial"/>
        </w:rPr>
        <w:t xml:space="preserve"> europaweit große und mittelständische Unternehmen aus Industrie, Handel und Dienstleistungen, Banken, Versicherungen und öffentliche Einrichtungen in allen Fragen des Treasury und Corporate Finance sowie des Risiko-, Cash-, Asset- und Working-Capital-Managements.</w:t>
      </w:r>
      <w:r w:rsidR="00B822D4">
        <w:rPr>
          <w:rFonts w:ascii="Arial" w:hAnsi="Arial" w:cs="Arial"/>
        </w:rPr>
        <w:t xml:space="preserve"> </w:t>
      </w:r>
      <w:r w:rsidR="00655484" w:rsidRPr="00655484">
        <w:rPr>
          <w:rFonts w:ascii="Arial" w:hAnsi="Arial" w:cs="Arial"/>
        </w:rPr>
        <w:t xml:space="preserve">Garant für die Stabilität von </w:t>
      </w:r>
      <w:r w:rsidR="00E1206D">
        <w:rPr>
          <w:rFonts w:ascii="Arial" w:hAnsi="Arial" w:cs="Arial"/>
        </w:rPr>
        <w:t>SLG Treasury</w:t>
      </w:r>
      <w:r w:rsidR="00655484" w:rsidRPr="00655484">
        <w:rPr>
          <w:rFonts w:ascii="Arial" w:hAnsi="Arial" w:cs="Arial"/>
        </w:rPr>
        <w:t xml:space="preserve"> </w:t>
      </w:r>
      <w:r w:rsidR="00655484">
        <w:rPr>
          <w:rFonts w:ascii="Arial" w:hAnsi="Arial" w:cs="Arial"/>
        </w:rPr>
        <w:t>ist der</w:t>
      </w:r>
      <w:r w:rsidR="00C5623D">
        <w:rPr>
          <w:rFonts w:ascii="Arial" w:hAnsi="Arial" w:cs="Arial"/>
        </w:rPr>
        <w:t xml:space="preserve"> aktuell</w:t>
      </w:r>
      <w:r w:rsidR="00655484">
        <w:rPr>
          <w:rFonts w:ascii="Arial" w:hAnsi="Arial" w:cs="Arial"/>
        </w:rPr>
        <w:t xml:space="preserve"> siebenköpfige </w:t>
      </w:r>
      <w:proofErr w:type="spellStart"/>
      <w:proofErr w:type="gramStart"/>
      <w:r w:rsidR="00655484">
        <w:rPr>
          <w:rFonts w:ascii="Arial" w:hAnsi="Arial" w:cs="Arial"/>
        </w:rPr>
        <w:t>Partner:innenkreis</w:t>
      </w:r>
      <w:proofErr w:type="spellEnd"/>
      <w:proofErr w:type="gramEnd"/>
      <w:r w:rsidR="00655484" w:rsidRPr="00655484">
        <w:rPr>
          <w:rFonts w:ascii="Arial" w:hAnsi="Arial" w:cs="Arial"/>
        </w:rPr>
        <w:t>, der in den letzten Jahren kontinuierlich erweitert wurde.</w:t>
      </w:r>
      <w:r w:rsidR="00C5623D">
        <w:rPr>
          <w:rFonts w:ascii="Arial" w:hAnsi="Arial" w:cs="Arial"/>
        </w:rPr>
        <w:t xml:space="preserve"> </w:t>
      </w:r>
    </w:p>
    <w:p w14:paraId="330D1E36" w14:textId="04F3328E" w:rsidR="000E10A6" w:rsidRDefault="000E10A6" w:rsidP="00B4649F">
      <w:pPr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Darüber hinaus </w:t>
      </w:r>
      <w:r w:rsidR="00925A97">
        <w:rPr>
          <w:rFonts w:ascii="Arial" w:hAnsi="Arial" w:cs="Arial"/>
        </w:rPr>
        <w:t xml:space="preserve">bietet </w:t>
      </w:r>
      <w:r w:rsidR="00E1206D">
        <w:rPr>
          <w:rFonts w:ascii="Arial" w:hAnsi="Arial" w:cs="Arial"/>
        </w:rPr>
        <w:t>SLG Treasury</w:t>
      </w:r>
      <w:r w:rsidR="00925A97">
        <w:rPr>
          <w:rFonts w:ascii="Arial" w:hAnsi="Arial" w:cs="Arial"/>
        </w:rPr>
        <w:t xml:space="preserve"> ein umfangreiches und praxisorientiertes Aus- und Weiterbildungsprogramm für Treasurer und </w:t>
      </w:r>
      <w:proofErr w:type="spellStart"/>
      <w:proofErr w:type="gramStart"/>
      <w:r w:rsidR="00925A97">
        <w:rPr>
          <w:rFonts w:ascii="Arial" w:hAnsi="Arial" w:cs="Arial"/>
        </w:rPr>
        <w:t>Berufsanwärter:innen</w:t>
      </w:r>
      <w:proofErr w:type="spellEnd"/>
      <w:proofErr w:type="gramEnd"/>
      <w:r w:rsidR="00925A97">
        <w:rPr>
          <w:rFonts w:ascii="Arial" w:hAnsi="Arial" w:cs="Arial"/>
        </w:rPr>
        <w:t xml:space="preserve"> an. </w:t>
      </w:r>
      <w:r w:rsidR="00C5623D">
        <w:rPr>
          <w:rFonts w:ascii="Arial" w:hAnsi="Arial" w:cs="Arial"/>
        </w:rPr>
        <w:t>M</w:t>
      </w:r>
      <w:r w:rsidR="00925A97">
        <w:rPr>
          <w:rFonts w:ascii="Arial" w:hAnsi="Arial" w:cs="Arial"/>
        </w:rPr>
        <w:t xml:space="preserve">ehr als 1.000 Seminare und Lehrgänge </w:t>
      </w:r>
      <w:r w:rsidR="00C5623D">
        <w:rPr>
          <w:rFonts w:ascii="Arial" w:hAnsi="Arial" w:cs="Arial"/>
        </w:rPr>
        <w:t>wurden bereits durchgeführt</w:t>
      </w:r>
      <w:r w:rsidR="00925A97">
        <w:rPr>
          <w:rFonts w:ascii="Arial" w:hAnsi="Arial" w:cs="Arial"/>
        </w:rPr>
        <w:t xml:space="preserve">. </w:t>
      </w:r>
    </w:p>
    <w:p w14:paraId="21A19B86" w14:textId="5B14A155" w:rsidR="000E10A6" w:rsidRPr="00655484" w:rsidRDefault="00383DDF" w:rsidP="000E10A6">
      <w:pPr>
        <w:spacing w:after="240"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Einblicke in die Finanz- und Treasury-Welt</w:t>
      </w:r>
    </w:p>
    <w:p w14:paraId="609A3B8D" w14:textId="1F6941EB" w:rsidR="00655484" w:rsidRDefault="00C5623D" w:rsidP="00655484">
      <w:pPr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Seit 3</w:t>
      </w:r>
      <w:r w:rsidR="00E1206D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Jahren ist</w:t>
      </w:r>
      <w:r w:rsidR="00655484" w:rsidRPr="00655484">
        <w:rPr>
          <w:rFonts w:ascii="Arial" w:hAnsi="Arial" w:cs="Arial"/>
        </w:rPr>
        <w:t xml:space="preserve"> S</w:t>
      </w:r>
      <w:r w:rsidR="00E1206D">
        <w:rPr>
          <w:rFonts w:ascii="Arial" w:hAnsi="Arial" w:cs="Arial"/>
        </w:rPr>
        <w:t xml:space="preserve">LG Treasury </w:t>
      </w:r>
      <w:r w:rsidR="00655484" w:rsidRPr="00655484">
        <w:rPr>
          <w:rFonts w:ascii="Arial" w:hAnsi="Arial" w:cs="Arial"/>
        </w:rPr>
        <w:t xml:space="preserve">Veranstalter des Finanzsymposiums in Mannheim, dem größten Branchentreff für Finanzverantwortliche in Europa mit jährlich </w:t>
      </w:r>
      <w:r w:rsidR="00E1206D">
        <w:rPr>
          <w:rFonts w:ascii="Arial" w:hAnsi="Arial" w:cs="Arial"/>
        </w:rPr>
        <w:t>rund 3.000</w:t>
      </w:r>
      <w:r w:rsidR="00655484" w:rsidRPr="00655484">
        <w:rPr>
          <w:rFonts w:ascii="Arial" w:hAnsi="Arial" w:cs="Arial"/>
        </w:rPr>
        <w:t xml:space="preserve"> </w:t>
      </w:r>
      <w:proofErr w:type="gramStart"/>
      <w:r w:rsidR="00655484" w:rsidRPr="00655484">
        <w:rPr>
          <w:rFonts w:ascii="Arial" w:hAnsi="Arial" w:cs="Arial"/>
        </w:rPr>
        <w:t>Teilnehmer:innen</w:t>
      </w:r>
      <w:proofErr w:type="gramEnd"/>
      <w:r w:rsidR="00655484" w:rsidRPr="00655484">
        <w:rPr>
          <w:rFonts w:ascii="Arial" w:hAnsi="Arial" w:cs="Arial"/>
        </w:rPr>
        <w:t xml:space="preserve">. </w:t>
      </w:r>
      <w:r w:rsidR="00655484">
        <w:rPr>
          <w:rFonts w:ascii="Arial" w:hAnsi="Arial" w:cs="Arial"/>
        </w:rPr>
        <w:t>2023 wurde das Erfolgskonzept nach Österreich gebracht: Die Treasury &amp; Finance Convention in Schladming soll sich auch hierzulande zum Top-Event für die heimische Finanz- und Treasury-Community etablieren.</w:t>
      </w:r>
    </w:p>
    <w:p w14:paraId="5407B030" w14:textId="27650811" w:rsidR="00C5623D" w:rsidRDefault="00655484" w:rsidP="00655484">
      <w:pPr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Mit der „Treasury on Tour“ Reihe bringt </w:t>
      </w:r>
      <w:r w:rsidR="00E1206D">
        <w:rPr>
          <w:rFonts w:ascii="Arial" w:hAnsi="Arial" w:cs="Arial"/>
        </w:rPr>
        <w:t>SLG Treasury</w:t>
      </w:r>
      <w:r>
        <w:rPr>
          <w:rFonts w:ascii="Arial" w:hAnsi="Arial" w:cs="Arial"/>
        </w:rPr>
        <w:t xml:space="preserve"> </w:t>
      </w:r>
      <w:r w:rsidR="00552512">
        <w:rPr>
          <w:rFonts w:ascii="Arial" w:hAnsi="Arial" w:cs="Arial"/>
        </w:rPr>
        <w:t>Treasury-Verantwortliche zu</w:t>
      </w:r>
      <w:r>
        <w:rPr>
          <w:rFonts w:ascii="Arial" w:hAnsi="Arial" w:cs="Arial"/>
        </w:rPr>
        <w:t xml:space="preserve"> </w:t>
      </w:r>
      <w:r w:rsidR="00C5623D">
        <w:rPr>
          <w:rFonts w:ascii="Arial" w:hAnsi="Arial" w:cs="Arial"/>
        </w:rPr>
        <w:t>exklusiven</w:t>
      </w:r>
      <w:r>
        <w:rPr>
          <w:rFonts w:ascii="Arial" w:hAnsi="Arial" w:cs="Arial"/>
        </w:rPr>
        <w:t xml:space="preserve"> Vorträgen</w:t>
      </w:r>
      <w:r w:rsidR="0021284C">
        <w:rPr>
          <w:rFonts w:ascii="Arial" w:hAnsi="Arial" w:cs="Arial"/>
        </w:rPr>
        <w:t xml:space="preserve"> und</w:t>
      </w:r>
      <w:r>
        <w:rPr>
          <w:rFonts w:ascii="Arial" w:hAnsi="Arial" w:cs="Arial"/>
        </w:rPr>
        <w:t xml:space="preserve"> Diskussionen</w:t>
      </w:r>
      <w:r w:rsidR="0021284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zusammen</w:t>
      </w:r>
      <w:r w:rsidR="00B822D4">
        <w:rPr>
          <w:rFonts w:ascii="Arial" w:hAnsi="Arial" w:cs="Arial"/>
        </w:rPr>
        <w:t xml:space="preserve">, um </w:t>
      </w:r>
      <w:r w:rsidR="001645D0">
        <w:rPr>
          <w:rFonts w:ascii="Arial" w:hAnsi="Arial" w:cs="Arial"/>
        </w:rPr>
        <w:t>den Austausch</w:t>
      </w:r>
      <w:r w:rsidR="00B822D4">
        <w:rPr>
          <w:rFonts w:ascii="Arial" w:hAnsi="Arial" w:cs="Arial"/>
        </w:rPr>
        <w:t xml:space="preserve"> in der Region zu fördern</w:t>
      </w:r>
      <w:r w:rsidR="00C5623D" w:rsidRPr="00C5623D">
        <w:rPr>
          <w:rFonts w:ascii="Arial" w:hAnsi="Arial" w:cs="Arial"/>
        </w:rPr>
        <w:t>.</w:t>
      </w:r>
    </w:p>
    <w:p w14:paraId="3917F2FC" w14:textId="1158DEE1" w:rsidR="00C5623D" w:rsidRPr="00C5623D" w:rsidRDefault="00C5623D" w:rsidP="00C5623D">
      <w:pPr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Die Expertise von </w:t>
      </w:r>
      <w:r w:rsidR="00E1206D">
        <w:rPr>
          <w:rFonts w:ascii="Arial" w:hAnsi="Arial" w:cs="Arial"/>
        </w:rPr>
        <w:t>SLG Treasury</w:t>
      </w:r>
      <w:r>
        <w:rPr>
          <w:rFonts w:ascii="Arial" w:hAnsi="Arial" w:cs="Arial"/>
        </w:rPr>
        <w:t xml:space="preserve"> sowie exklusive </w:t>
      </w:r>
      <w:r w:rsidR="0021284C">
        <w:rPr>
          <w:rFonts w:ascii="Arial" w:hAnsi="Arial" w:cs="Arial"/>
        </w:rPr>
        <w:t>Projekte</w:t>
      </w:r>
      <w:r>
        <w:rPr>
          <w:rFonts w:ascii="Arial" w:hAnsi="Arial" w:cs="Arial"/>
        </w:rPr>
        <w:t xml:space="preserve">inblicke fließen zudem in das </w:t>
      </w:r>
      <w:r w:rsidR="00673BD1">
        <w:rPr>
          <w:rFonts w:ascii="Arial" w:hAnsi="Arial" w:cs="Arial"/>
        </w:rPr>
        <w:t xml:space="preserve">vier </w:t>
      </w:r>
      <w:r>
        <w:rPr>
          <w:rFonts w:ascii="Arial" w:hAnsi="Arial" w:cs="Arial"/>
        </w:rPr>
        <w:t xml:space="preserve">Mal im Jahr erscheinende </w:t>
      </w:r>
      <w:r w:rsidRPr="00C5623D">
        <w:rPr>
          <w:rFonts w:ascii="Arial" w:hAnsi="Arial" w:cs="Arial"/>
        </w:rPr>
        <w:t>„Treasury Log“, welches mit einer Auflage von je 18.000 Exemplaren zu den zentralen Branchen</w:t>
      </w:r>
      <w:r>
        <w:rPr>
          <w:rFonts w:ascii="Arial" w:hAnsi="Arial" w:cs="Arial"/>
        </w:rPr>
        <w:t>p</w:t>
      </w:r>
      <w:r w:rsidRPr="00C5623D">
        <w:rPr>
          <w:rFonts w:ascii="Arial" w:hAnsi="Arial" w:cs="Arial"/>
        </w:rPr>
        <w:t>ublikationen zählt.</w:t>
      </w:r>
    </w:p>
    <w:p w14:paraId="30228986" w14:textId="7331E7DC" w:rsidR="000E10A6" w:rsidRDefault="00C5623D" w:rsidP="000E10A6">
      <w:pPr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Mehr Informationen unter: </w:t>
      </w:r>
      <w:hyperlink r:id="rId7" w:history="1">
        <w:r w:rsidRPr="00A664FA">
          <w:rPr>
            <w:rStyle w:val="Hyperlink"/>
            <w:rFonts w:ascii="Arial" w:hAnsi="Arial" w:cs="Arial"/>
          </w:rPr>
          <w:t>https://www.slg.co.at/</w:t>
        </w:r>
      </w:hyperlink>
      <w:r>
        <w:rPr>
          <w:rFonts w:ascii="Arial" w:hAnsi="Arial" w:cs="Arial"/>
        </w:rPr>
        <w:t xml:space="preserve"> </w:t>
      </w:r>
    </w:p>
    <w:sectPr w:rsidR="000E10A6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127886" w14:textId="77777777" w:rsidR="0086038D" w:rsidRDefault="0086038D" w:rsidP="00BE1E9E">
      <w:pPr>
        <w:spacing w:after="0" w:line="240" w:lineRule="auto"/>
      </w:pPr>
      <w:r>
        <w:separator/>
      </w:r>
    </w:p>
  </w:endnote>
  <w:endnote w:type="continuationSeparator" w:id="0">
    <w:p w14:paraId="18D0B37B" w14:textId="77777777" w:rsidR="0086038D" w:rsidRDefault="0086038D" w:rsidP="00BE1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13039549"/>
      <w:docPartObj>
        <w:docPartGallery w:val="Page Numbers (Bottom of Page)"/>
        <w:docPartUnique/>
      </w:docPartObj>
    </w:sdtPr>
    <w:sdtEndPr/>
    <w:sdtContent>
      <w:p w14:paraId="3786324B" w14:textId="7C45DFE8" w:rsidR="00987F19" w:rsidRDefault="00987F19">
        <w:pPr>
          <w:pStyle w:val="Fuzeile"/>
          <w:jc w:val="right"/>
        </w:pPr>
        <w:r w:rsidRPr="00987F19">
          <w:rPr>
            <w:rFonts w:ascii="Arial" w:hAnsi="Arial" w:cs="Arial"/>
            <w:sz w:val="18"/>
            <w:szCs w:val="18"/>
          </w:rPr>
          <w:fldChar w:fldCharType="begin"/>
        </w:r>
        <w:r w:rsidRPr="00987F19">
          <w:rPr>
            <w:rFonts w:ascii="Arial" w:hAnsi="Arial" w:cs="Arial"/>
            <w:sz w:val="18"/>
            <w:szCs w:val="18"/>
          </w:rPr>
          <w:instrText>PAGE   \* MERGEFORMAT</w:instrText>
        </w:r>
        <w:r w:rsidRPr="00987F19">
          <w:rPr>
            <w:rFonts w:ascii="Arial" w:hAnsi="Arial" w:cs="Arial"/>
            <w:sz w:val="18"/>
            <w:szCs w:val="18"/>
          </w:rPr>
          <w:fldChar w:fldCharType="separate"/>
        </w:r>
        <w:r w:rsidRPr="00987F19">
          <w:rPr>
            <w:rFonts w:ascii="Arial" w:hAnsi="Arial" w:cs="Arial"/>
            <w:sz w:val="18"/>
            <w:szCs w:val="18"/>
            <w:lang w:val="de-DE"/>
          </w:rPr>
          <w:t>2</w:t>
        </w:r>
        <w:r w:rsidRPr="00987F19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2B2F6787" w14:textId="77777777" w:rsidR="00987F19" w:rsidRDefault="00987F1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8C695C" w14:textId="77777777" w:rsidR="0086038D" w:rsidRDefault="0086038D" w:rsidP="00BE1E9E">
      <w:pPr>
        <w:spacing w:after="0" w:line="240" w:lineRule="auto"/>
      </w:pPr>
      <w:r>
        <w:separator/>
      </w:r>
    </w:p>
  </w:footnote>
  <w:footnote w:type="continuationSeparator" w:id="0">
    <w:p w14:paraId="155C57BC" w14:textId="77777777" w:rsidR="0086038D" w:rsidRDefault="0086038D" w:rsidP="00BE1E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B76047" w14:textId="1274973D" w:rsidR="00BE1E9E" w:rsidRDefault="00E1206D" w:rsidP="00BE1E9E">
    <w:pPr>
      <w:pStyle w:val="Kopfzeile"/>
      <w:jc w:val="right"/>
    </w:pPr>
    <w:r>
      <w:rPr>
        <w:noProof/>
      </w:rPr>
      <w:drawing>
        <wp:anchor distT="0" distB="0" distL="114300" distR="114300" simplePos="0" relativeHeight="251662336" behindDoc="0" locked="0" layoutInCell="1" allowOverlap="1" wp14:anchorId="59F16D71" wp14:editId="2996E561">
          <wp:simplePos x="0" y="0"/>
          <wp:positionH relativeFrom="margin">
            <wp:posOffset>3714750</wp:posOffset>
          </wp:positionH>
          <wp:positionV relativeFrom="topMargin">
            <wp:posOffset>315595</wp:posOffset>
          </wp:positionV>
          <wp:extent cx="1914525" cy="668816"/>
          <wp:effectExtent l="0" t="0" r="0" b="0"/>
          <wp:wrapSquare wrapText="bothSides"/>
          <wp:docPr id="709238511" name="Grafik 3" descr="Ein Bild, das Schrift, Text, Grafiken, Screenshot enthält.&#10;&#10;KI-generierte Inhalte können fehlerhaft sei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9238511" name="Grafik 3" descr="Ein Bild, das Schrift, Text, Grafiken, Screenshot enthält.&#10;&#10;KI-generierte Inhalte können fehlerhaft sein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6688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E34C3FC" wp14:editId="39BCA464">
              <wp:simplePos x="0" y="0"/>
              <wp:positionH relativeFrom="column">
                <wp:posOffset>3605530</wp:posOffset>
              </wp:positionH>
              <wp:positionV relativeFrom="paragraph">
                <wp:posOffset>-278129</wp:posOffset>
              </wp:positionV>
              <wp:extent cx="2095500" cy="685800"/>
              <wp:effectExtent l="0" t="0" r="19050" b="19050"/>
              <wp:wrapNone/>
              <wp:docPr id="1397229918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95500" cy="6858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625517B" id="Rechteck 1" o:spid="_x0000_s1026" style="position:absolute;margin-left:283.9pt;margin-top:-21.9pt;width:165pt;height:54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" fillcolor="white [3212]" strokecolor="white [3212]" strokeweight="1pt"/>
          </w:pict>
        </mc:Fallback>
      </mc:AlternateContent>
    </w:r>
    <w:r w:rsidR="000E0E0D">
      <w:rPr>
        <w:noProof/>
      </w:rPr>
      <w:drawing>
        <wp:anchor distT="0" distB="0" distL="114300" distR="114300" simplePos="0" relativeHeight="251659264" behindDoc="1" locked="0" layoutInCell="1" allowOverlap="1" wp14:anchorId="7ECAD66C" wp14:editId="7B5DB540">
          <wp:simplePos x="0" y="0"/>
          <wp:positionH relativeFrom="page">
            <wp:align>right</wp:align>
          </wp:positionH>
          <wp:positionV relativeFrom="paragraph">
            <wp:posOffset>-657860</wp:posOffset>
          </wp:positionV>
          <wp:extent cx="7583170" cy="1276350"/>
          <wp:effectExtent l="0" t="0" r="0" b="0"/>
          <wp:wrapNone/>
          <wp:docPr id="4" name="Grafik 4" descr="Ein Bild, das Text, Screenshot, Reihe, Schrif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 descr="Ein Bild, das Text, Screenshot, Reihe, Schrift enthält.&#10;&#10;Automatisch generierte Beschreibung"/>
                  <pic:cNvPicPr/>
                </pic:nvPicPr>
                <pic:blipFill rotWithShape="1">
                  <a:blip r:embed="rId2"/>
                  <a:srcRect l="126" b="88115"/>
                  <a:stretch/>
                </pic:blipFill>
                <pic:spPr bwMode="auto">
                  <a:xfrm>
                    <a:off x="0" y="0"/>
                    <a:ext cx="7583170" cy="12763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125C6B6" w14:textId="6D41DAD2" w:rsidR="000E0E0D" w:rsidRDefault="000E0E0D" w:rsidP="00BE1E9E">
    <w:pPr>
      <w:pStyle w:val="Kopfzeile"/>
      <w:jc w:val="right"/>
    </w:pPr>
  </w:p>
  <w:p w14:paraId="451AB4CD" w14:textId="77777777" w:rsidR="000E0E0D" w:rsidRDefault="000E0E0D" w:rsidP="00BE1E9E">
    <w:pPr>
      <w:pStyle w:val="Kopfzeile"/>
      <w:jc w:val="right"/>
    </w:pPr>
  </w:p>
  <w:p w14:paraId="61B1E35F" w14:textId="77777777" w:rsidR="00987F19" w:rsidRDefault="00987F19" w:rsidP="00E1206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E9E"/>
    <w:rsid w:val="000016E5"/>
    <w:rsid w:val="00065549"/>
    <w:rsid w:val="000D5CE3"/>
    <w:rsid w:val="000E0E0D"/>
    <w:rsid w:val="000E10A6"/>
    <w:rsid w:val="001645D0"/>
    <w:rsid w:val="0021284C"/>
    <w:rsid w:val="00283B16"/>
    <w:rsid w:val="00307B31"/>
    <w:rsid w:val="003404E6"/>
    <w:rsid w:val="00383DDF"/>
    <w:rsid w:val="003A5D68"/>
    <w:rsid w:val="00552512"/>
    <w:rsid w:val="00655484"/>
    <w:rsid w:val="0066241D"/>
    <w:rsid w:val="00673BD1"/>
    <w:rsid w:val="00675B07"/>
    <w:rsid w:val="006C4F4B"/>
    <w:rsid w:val="007946FA"/>
    <w:rsid w:val="007A75AC"/>
    <w:rsid w:val="007F452E"/>
    <w:rsid w:val="0086038D"/>
    <w:rsid w:val="008857F6"/>
    <w:rsid w:val="008A0D0C"/>
    <w:rsid w:val="00925A97"/>
    <w:rsid w:val="00987F19"/>
    <w:rsid w:val="009B30EE"/>
    <w:rsid w:val="00B4649F"/>
    <w:rsid w:val="00B822D4"/>
    <w:rsid w:val="00BE1E9E"/>
    <w:rsid w:val="00C5623D"/>
    <w:rsid w:val="00CC7A79"/>
    <w:rsid w:val="00DA1F2E"/>
    <w:rsid w:val="00DE7894"/>
    <w:rsid w:val="00E05837"/>
    <w:rsid w:val="00E1206D"/>
    <w:rsid w:val="00E14928"/>
    <w:rsid w:val="00EB5E22"/>
    <w:rsid w:val="00FE3D7B"/>
    <w:rsid w:val="00FF0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E0A7B8"/>
  <w15:chartTrackingRefBased/>
  <w15:docId w15:val="{79CD8F58-ADA6-4CFF-88FD-E478696DD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E1E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E1E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E1E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E1E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E1E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E1E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1E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1E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1E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E1E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E1E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E1E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E1E9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E1E9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E1E9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1E9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1E9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1E9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E1E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E1E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E1E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E1E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E1E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E1E9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E1E9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E1E9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E1E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E1E9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E1E9E"/>
    <w:rPr>
      <w:b/>
      <w:bCs/>
      <w:smallCaps/>
      <w:color w:val="0F4761" w:themeColor="accent1" w:themeShade="BF"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BE1E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E1E9E"/>
  </w:style>
  <w:style w:type="paragraph" w:styleId="Fuzeile">
    <w:name w:val="footer"/>
    <w:basedOn w:val="Standard"/>
    <w:link w:val="FuzeileZchn"/>
    <w:uiPriority w:val="99"/>
    <w:unhideWhenUsed/>
    <w:rsid w:val="00BE1E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E1E9E"/>
  </w:style>
  <w:style w:type="character" w:styleId="Hyperlink">
    <w:name w:val="Hyperlink"/>
    <w:basedOn w:val="Absatz-Standardschriftart"/>
    <w:uiPriority w:val="99"/>
    <w:unhideWhenUsed/>
    <w:rsid w:val="000E0E0D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E0E0D"/>
    <w:rPr>
      <w:color w:val="605E5C"/>
      <w:shd w:val="clear" w:color="auto" w:fill="E1DFDD"/>
    </w:rPr>
  </w:style>
  <w:style w:type="table" w:styleId="Tabellenraster">
    <w:name w:val="Table Grid"/>
    <w:basedOn w:val="NormaleTabelle"/>
    <w:uiPriority w:val="39"/>
    <w:rsid w:val="000E0E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tt">
    <w:name w:val="Strong"/>
    <w:basedOn w:val="Absatz-Standardschriftart"/>
    <w:uiPriority w:val="22"/>
    <w:qFormat/>
    <w:rsid w:val="00E14928"/>
    <w:rPr>
      <w:b/>
      <w:bCs/>
    </w:rPr>
  </w:style>
  <w:style w:type="paragraph" w:styleId="berarbeitung">
    <w:name w:val="Revision"/>
    <w:hidden/>
    <w:uiPriority w:val="99"/>
    <w:semiHidden/>
    <w:rsid w:val="00673BD1"/>
    <w:pPr>
      <w:spacing w:after="0" w:line="240" w:lineRule="auto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673BD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73BD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673BD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73BD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73BD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093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slg.co.at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B0F4D-D630-4C16-B6EC-D12E98533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Hirsch Barbara</dc:creator>
  <cp:keywords/>
  <dc:description/>
  <cp:lastModifiedBy>Mariana Tomash</cp:lastModifiedBy>
  <cp:revision>5</cp:revision>
  <dcterms:created xsi:type="dcterms:W3CDTF">2024-07-15T12:57:00Z</dcterms:created>
  <dcterms:modified xsi:type="dcterms:W3CDTF">2025-03-26T13:29:00Z</dcterms:modified>
</cp:coreProperties>
</file>